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216FD" w14:textId="7878DA9F" w:rsidR="00221312" w:rsidRPr="00221312" w:rsidRDefault="00543329" w:rsidP="00221312">
      <w:pPr>
        <w:spacing w:after="200" w:line="360" w:lineRule="auto"/>
        <w:jc w:val="both"/>
        <w:rPr>
          <w:rFonts w:ascii="Arial" w:eastAsia="Calibri" w:hAnsi="Arial" w:cs="Arial"/>
          <w:b/>
          <w:sz w:val="24"/>
          <w:szCs w:val="24"/>
          <w:lang w:val="de-DE"/>
        </w:rPr>
      </w:pPr>
      <w:r w:rsidRPr="00221312">
        <w:rPr>
          <w:rFonts w:ascii="Arial" w:eastAsia="Calibri" w:hAnsi="Arial" w:cs="Arial"/>
          <w:b/>
          <w:sz w:val="24"/>
          <w:szCs w:val="24"/>
          <w:lang w:val="de-DE"/>
        </w:rPr>
        <w:t>Standhaftigkeit und Würde im Angesicht des Missbrauchs</w:t>
      </w:r>
    </w:p>
    <w:p w14:paraId="41D6E500" w14:textId="77777777" w:rsidR="00543329" w:rsidRPr="00221312" w:rsidRDefault="00543329" w:rsidP="00221312">
      <w:pPr>
        <w:spacing w:after="200" w:line="360" w:lineRule="auto"/>
        <w:jc w:val="both"/>
        <w:rPr>
          <w:rFonts w:ascii="Arial" w:eastAsia="Calibri" w:hAnsi="Arial" w:cs="Arial"/>
          <w:b/>
          <w:sz w:val="24"/>
          <w:szCs w:val="24"/>
          <w:lang w:val="de-DE"/>
        </w:rPr>
      </w:pPr>
      <w:r w:rsidRPr="00221312">
        <w:rPr>
          <w:rFonts w:ascii="Arial" w:eastAsia="Calibri" w:hAnsi="Arial" w:cs="Arial"/>
          <w:b/>
          <w:sz w:val="24"/>
          <w:szCs w:val="24"/>
          <w:lang w:val="de-DE"/>
        </w:rPr>
        <w:t xml:space="preserve">Erklärung  des Ministeriums für Auswärtige Angelegenheiten </w:t>
      </w:r>
    </w:p>
    <w:p w14:paraId="6C1C078A"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Am 31. Januar 2025 gab US-Außenminister Marco Rubio bekannt, dass er den US-Kongress über die Aufhebung der Aussetzung der Möglichkeit Klagen vor US-Gerichten gemäß Titel III des Helms-Burton-Gesetzes zu erheben, informiert habe.</w:t>
      </w:r>
    </w:p>
    <w:p w14:paraId="0A5A3179"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Außerdem genehmigte er die Wiedereinführung der Liste der beschränkten kubanischen Einrichtungen, mit denen Einrichtungen oder Personen in den Vereinigten Staaten unter Androhung einer Geldstrafe und des Einfrierens ihrer Vermögenswerte keine Geschäfte tätigen dürfen. Er informierte über die Entscheidung, das kubanische Überweisungsunternehmen Orbit S.A. in diese Liste aufzunehmen.</w:t>
      </w:r>
    </w:p>
    <w:p w14:paraId="412897A5"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Dies sind keine unerwarteten Maßnahmen. Es sind Schritte, die fehlten, um die verspäteten aber positiven Entscheidungen, die Präsident Joseph Biden am 14. Januar angekündigt hatte, rückgängig zu machen.</w:t>
      </w:r>
    </w:p>
    <w:p w14:paraId="4D4E609E"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 xml:space="preserve">Diese Ankündigung ist möglicherweise auch der Auftakt zu weiteren Maßnahmen, die das für die Kuba-Frage zuständige Team in dieser Regierung seit 2017 konzipiert hat, um die Belagerung Kubas auf der Suche nach neuen und vermeidbaren Szenarien der Verschlechterung und der bilateralen Konfrontation grundlos und unverantwortlich weiter zu verschärfen. </w:t>
      </w:r>
    </w:p>
    <w:p w14:paraId="52DD78C5"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 xml:space="preserve">Ziel der Maßnahmen ist es, ausländische Investoren einzuschüchtern und sie daran zu hindern, zur wirtschaftlichen Entwicklung Kubas und zum Wohlergehen der Kubaner beizutragen, und zwar durch die ausdrückliche Drohung, vor US-Gerichten verklagt zu werden. Es geht auch darum, der gesamten kubanischen Wirtschaft  alle externen Einkommensquellen zu versperren, die Fähigkeit aller öffentlichen und privaten Wirtschaftsakteure, Waren und Dienstleistungen bereitzustellen, auf kriminelle Weise zu sabotieren und den Lebensstandard der von der Blockade und den zusätzlichen Maßnahmen, die während Trumps erster Amtszeit verhängt wurden, betroffenen Bevölkerung weiter zu verschlechtern, soziale Irritationen und Destabilisierung hervorzurufen und zu versuchen, das oft </w:t>
      </w:r>
      <w:r w:rsidRPr="00221312">
        <w:rPr>
          <w:rFonts w:ascii="Arial" w:eastAsia="Calibri" w:hAnsi="Arial" w:cs="Arial"/>
          <w:sz w:val="24"/>
          <w:szCs w:val="24"/>
          <w:lang w:val="de-DE"/>
        </w:rPr>
        <w:lastRenderedPageBreak/>
        <w:t>erträumte und nie erreichte Ziel des Umsturzes der Revolution zum Zwecke der Herrschaft und Züchtigung zu erreichen.</w:t>
      </w:r>
    </w:p>
    <w:p w14:paraId="156F0293"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Begleitet werden diese Aktionen von Kommunikationsmaßnahmen zur Desinformation und Diskreditierung und einer mächtigen Manipulationsmaschinerie auf digitalen Plattformen, mit dem Ziel, Kuba für die Auswirkungen der kriminellen Maßnahmen der US-Regierung verantwortlich zu machen, damit die Welt und das kubanische Volk ihre Henker nicht erkennen.</w:t>
      </w:r>
    </w:p>
    <w:p w14:paraId="5EC26F2F"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Es sind dieselben Politiker, die von ihrer Verpflichtung gegenüber reaktionären Familien und speziellen Interessengruppen in den Vereinigten Staaten und Florida angetrieben werden, die von der Blockade Kubas profitieren, indem sie das Wohlergehen und die Lebensgrundlagen des kubanischen Volkes opfern. Diese Politiker von heute sind  die gleichen Architekten der Dutzende von zusätzlichen Maßnahmen zur Blockade, die zwischen 2017 und 2021 in Kraft gesetzt wurden.</w:t>
      </w:r>
    </w:p>
    <w:p w14:paraId="6430373D"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 xml:space="preserve">Seit der Verabschiedung des Helms-Burton-Gesetzes im Jahr 1996 und bis 2019 haben alle US-Präsidenten, einschließlich Trump in den ersten zwei Jahren seiner ersten Amtszeit, nacheinander alle sechs Monate die Exekutivgewalt genutzt, um die Umsetzung von Titel III auszusetzen, weil sie erkannt haben, dass er gegen das Völkerrecht und die Souveränität anderer Staaten verstößt. Sie waren sich auch darüber im Klaren, dass seine Anwendung unüberwindbare Hindernisse für die Beilegung von Ansprüchen und die Entschädigung von US-Amerikanern schaffen würde, deren Eigentum nach dem Sieg der Revolution rechtmäßig verstaatlicht worden war. </w:t>
      </w:r>
    </w:p>
    <w:p w14:paraId="28C3FED8"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Infolgedessen wurden seit 2019 rund 45 Klagen vor Gericht eingereicht, vor allem gegen US-Unternehmen. Sie mussten Geld, Zeit und Energie aufwenden, um sich gegen das zu verteidigen, was Experten als juristischen Irrweg betrachten, der Aspekte aufweist, die ihn als verfassungswidrig qualifizieren würden. Zu den wichtigsten Abweichungen gehört, dass der Titel auch für Eigentümer gilt, die zum Zeitpunkt der Verstaatlichung keine US-Bürger waren und deren angebliche Eigentümerschaft von niemandem bestätigt wurde.</w:t>
      </w:r>
    </w:p>
    <w:p w14:paraId="02147C97"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lastRenderedPageBreak/>
        <w:t>Es handelt sich um Maßnahmen, die nichts mit dem nationalen Interesse der Vereinigten Staaten oder den Wünschen eines Großteils der US-amerikanischen Geschäftswelt zu tun haben, die sich an der kubanischen Wirtschaft beteiligen möchte. Im Gegenteil, sie sind mit den überholten Rückeroberungswünschen der politischen Erben des Diktators Fulgencio Batista verbunden.</w:t>
      </w:r>
    </w:p>
    <w:p w14:paraId="66FC5158"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Es ist ein Beweis für die korrupte Natur, mit der diese Regierung im Allgemeinen arbeitet, und im Besonderen für ihr Ziel, Kuba wirtschaftlich zu ersticken, unserem Volk Schaden zuzufügen und so zu tun, als ob wir auf die souveränen Vorrechte verzichten sollten, die so viele Jahre, Anstrengungen und Leben gekostet haben, um sie zu gewinnen.</w:t>
      </w:r>
    </w:p>
    <w:p w14:paraId="78C9886A"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Mit der Reaktivierung von Titel III wird die Anwendung des Helms-Burton-Gesetzes erneut in seiner Gesamtheit beschlossen. Es zeichnet sich durch seinen extremen extraterritorialen Geltungsbereich aus, da es gegen die Normen und Grundsätze des Völkerrechts verstößt, die Regeln des Handels und der internationalen Wirtschaftsbeziehungen verletzt und der Souveränität anderer Staaten schadet, vor allem weil seine Bestimmungen Unternehmen und Personen mit Sitz in deren Hoheitsgebiet betreffen. Es wurde von der internationalen Staatengemeinschaft in den Vereinten Nationen, den internationalen Fachgremien und den regionalen Organisationen weitgehend, konsequent und fast einstimmig abgelehnt. In mehreren Ländern gibt es nationale Gesetze, die sich mit den extraterritorialen Auswirkungen dieses Gesetzes befassen.</w:t>
      </w:r>
    </w:p>
    <w:p w14:paraId="66834D7B"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Die kubanische Regierung be</w:t>
      </w:r>
      <w:r w:rsidR="006E143C" w:rsidRPr="00221312">
        <w:rPr>
          <w:rFonts w:ascii="Arial" w:eastAsia="Calibri" w:hAnsi="Arial" w:cs="Arial"/>
          <w:sz w:val="24"/>
          <w:szCs w:val="24"/>
          <w:lang w:val="de-DE"/>
        </w:rPr>
        <w:t>stätigt</w:t>
      </w:r>
      <w:r w:rsidRPr="00221312">
        <w:rPr>
          <w:rFonts w:ascii="Arial" w:eastAsia="Calibri" w:hAnsi="Arial" w:cs="Arial"/>
          <w:sz w:val="24"/>
          <w:szCs w:val="24"/>
          <w:lang w:val="de-DE"/>
        </w:rPr>
        <w:t xml:space="preserve"> die Postulate des Gesetzes zur Bekräftigung der kubanischen</w:t>
      </w:r>
      <w:r w:rsidR="006E143C" w:rsidRPr="00221312">
        <w:rPr>
          <w:rFonts w:ascii="Arial" w:eastAsia="Calibri" w:hAnsi="Arial" w:cs="Arial"/>
          <w:sz w:val="24"/>
          <w:szCs w:val="24"/>
          <w:lang w:val="de-DE"/>
        </w:rPr>
        <w:t xml:space="preserve"> Würde und Souveränität (Gesetz-</w:t>
      </w:r>
      <w:r w:rsidRPr="00221312">
        <w:rPr>
          <w:rFonts w:ascii="Arial" w:eastAsia="Calibri" w:hAnsi="Arial" w:cs="Arial"/>
          <w:sz w:val="24"/>
          <w:szCs w:val="24"/>
          <w:lang w:val="de-DE"/>
        </w:rPr>
        <w:t>Nr. 80) und erinnert an die Entscheidung des Volksgerichtshofs von Havanna vom 2. November 1999, die Klage gegen die Regierung der Vereinigten Staaten wegen menschlicher Schäden für zulässig zu erklären und sie zur Wiedergutmachung und Entschädigung des kubanischen Volkes in Höhe von 181,1 Milliarden Dollar zu verurteilen. Anschließend, am 5. Mai 2000, stellte das Gericht die wirtschaftlichen Schäden fest, die Kuba entstanden waren, und verurteilte die USA zu einer Entschädigung in Höhe von 121 Milliarden Dollar.</w:t>
      </w:r>
    </w:p>
    <w:p w14:paraId="56405501"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lastRenderedPageBreak/>
        <w:t xml:space="preserve">Kuba hat seine Bereitschaft bekräftigt, eine Lösung für die gegenseitigen Ansprüche und Entschädigungen zu finden. Die kubanischen Verstaatlichungen wurden unter dem Schutz des Gesetzes, in strikter Übereinstimmung mit der Verfassung unseres Landes und im Einklang mit dem Völkerrecht durchgeführt. Alle Verstaatlichungen sahen faire und angemessene Entschädigungsverfahren vor, die die US-Regierung nicht in Betracht zog. Kuba hat mit anderen Nationen, die heute in unserem Land investieren, wie Spanien, der Schweiz, Kanada, dem Vereinigten Königreich, Deutschland und Frankreich, globale Entschädigungsvereinbarungen getroffen und diese eingehalten.  </w:t>
      </w:r>
    </w:p>
    <w:p w14:paraId="7D09E1B9" w14:textId="77777777" w:rsidR="006E143C"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 xml:space="preserve">Ebenso verurteilt die kubanische Regierung die neue Maßnahme gegen das Recht kubanischer Emigranten, </w:t>
      </w:r>
      <w:r w:rsidR="006E143C" w:rsidRPr="00221312">
        <w:rPr>
          <w:rFonts w:ascii="Arial" w:eastAsia="Calibri" w:hAnsi="Arial" w:cs="Arial"/>
          <w:sz w:val="24"/>
          <w:szCs w:val="24"/>
          <w:lang w:val="de-DE"/>
        </w:rPr>
        <w:t>Geldü</w:t>
      </w:r>
      <w:r w:rsidRPr="00221312">
        <w:rPr>
          <w:rFonts w:ascii="Arial" w:eastAsia="Calibri" w:hAnsi="Arial" w:cs="Arial"/>
          <w:sz w:val="24"/>
          <w:szCs w:val="24"/>
          <w:lang w:val="de-DE"/>
        </w:rPr>
        <w:t>berweisungen zu tätigen und ihre Familien zu unterstützen, die bereits zu sehr unter der Belagerung leiden, die sich aufgrund der ungerechten und betrügerischen Aufnahme Kubas in die Liste der angeblichen staatlichen Sponsoren des Terrorismus verschärft hat und macht die US-Regierung für die unmittelbaren Folgen dieser Maßnahme in ganzem Land verantwortlich,</w:t>
      </w:r>
    </w:p>
    <w:p w14:paraId="7F2578A7"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Kuba lehnt diese Entscheidungen energisch, entschieden und kategorisch ab. Es betrachtet sie als einen neuen feindseligen und arroganten Akt und weist die respektlose und verleumderische Sprache des Kommuniqués des US-Außenministeriums zurück, das voller Lügen ist und versucht, das Unrechtmäßige zu rechtfertigen.</w:t>
      </w:r>
    </w:p>
    <w:p w14:paraId="5B92A803"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Niemand wird sich von ihren falschen Vorwänden täuschen lassen, mit denen sie versuchen, diese und künftige Schandtaten zu rechtfertigen. Es wird ihnen nur gelingen, die Isolation und die allgemeine Ablehnung des schändlichen Missbrauchs der US-Regierungen gegen Kuba und seine Bevölkerung zu verstärken.</w:t>
      </w:r>
    </w:p>
    <w:p w14:paraId="244452FC"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Wir rufen die internationale  Staatengemeinschaft auf, den neuen und gefährlichen Angriff, der gerade begonnen hat, zu stoppen, anzuprangern und unser Volk dabei zu begleiten.</w:t>
      </w:r>
    </w:p>
    <w:p w14:paraId="6C30437E"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lastRenderedPageBreak/>
        <w:t>Sie werden mit ihren mörderischen und feigen Plänen und Maßnahmen viel Schaden anrichten, aber ihr Hauptziel, Kuba in die Knie zu zwingen, um es zu unterjochen, werden sie niemals erreichen.</w:t>
      </w:r>
    </w:p>
    <w:p w14:paraId="129A3096" w14:textId="77777777" w:rsidR="00543329" w:rsidRPr="00221312" w:rsidRDefault="00543329" w:rsidP="00221312">
      <w:pPr>
        <w:spacing w:after="200" w:line="360" w:lineRule="auto"/>
        <w:jc w:val="both"/>
        <w:rPr>
          <w:rFonts w:ascii="Arial" w:eastAsia="Calibri" w:hAnsi="Arial" w:cs="Arial"/>
          <w:sz w:val="24"/>
          <w:szCs w:val="24"/>
          <w:lang w:val="de-DE"/>
        </w:rPr>
      </w:pPr>
      <w:r w:rsidRPr="00221312">
        <w:rPr>
          <w:rFonts w:ascii="Arial" w:eastAsia="Calibri" w:hAnsi="Arial" w:cs="Arial"/>
          <w:sz w:val="24"/>
          <w:szCs w:val="24"/>
          <w:lang w:val="de-DE"/>
        </w:rPr>
        <w:t>Kuba wird siegen!</w:t>
      </w:r>
    </w:p>
    <w:p w14:paraId="72B66747" w14:textId="77777777" w:rsidR="00543329" w:rsidRPr="00A03F64" w:rsidRDefault="00543329" w:rsidP="00221312">
      <w:pPr>
        <w:spacing w:after="200" w:line="360" w:lineRule="auto"/>
        <w:jc w:val="both"/>
        <w:rPr>
          <w:rFonts w:ascii="Arial" w:eastAsia="Calibri" w:hAnsi="Arial" w:cs="Arial"/>
          <w:sz w:val="24"/>
          <w:szCs w:val="24"/>
          <w:lang w:val="es-ES"/>
        </w:rPr>
      </w:pPr>
      <w:proofErr w:type="spellStart"/>
      <w:r w:rsidRPr="00A03F64">
        <w:rPr>
          <w:rFonts w:ascii="Arial" w:eastAsia="Calibri" w:hAnsi="Arial" w:cs="Arial"/>
          <w:sz w:val="24"/>
          <w:szCs w:val="24"/>
          <w:lang w:val="es-ES"/>
        </w:rPr>
        <w:t>Havanna</w:t>
      </w:r>
      <w:proofErr w:type="spellEnd"/>
      <w:r w:rsidRPr="00A03F64">
        <w:rPr>
          <w:rFonts w:ascii="Arial" w:eastAsia="Calibri" w:hAnsi="Arial" w:cs="Arial"/>
          <w:sz w:val="24"/>
          <w:szCs w:val="24"/>
          <w:lang w:val="es-ES"/>
        </w:rPr>
        <w:t xml:space="preserve">, den 1. </w:t>
      </w:r>
      <w:proofErr w:type="spellStart"/>
      <w:r w:rsidRPr="00A03F64">
        <w:rPr>
          <w:rFonts w:ascii="Arial" w:eastAsia="Calibri" w:hAnsi="Arial" w:cs="Arial"/>
          <w:sz w:val="24"/>
          <w:szCs w:val="24"/>
          <w:lang w:val="es-ES"/>
        </w:rPr>
        <w:t>Februar</w:t>
      </w:r>
      <w:proofErr w:type="spellEnd"/>
      <w:r w:rsidRPr="00A03F64">
        <w:rPr>
          <w:rFonts w:ascii="Arial" w:eastAsia="Calibri" w:hAnsi="Arial" w:cs="Arial"/>
          <w:sz w:val="24"/>
          <w:szCs w:val="24"/>
          <w:lang w:val="es-ES"/>
        </w:rPr>
        <w:t xml:space="preserve"> 2025 </w:t>
      </w:r>
    </w:p>
    <w:p w14:paraId="5AA4FBAA" w14:textId="2E4B88D4" w:rsidR="00543329" w:rsidRPr="00A03F64" w:rsidRDefault="00A03F64" w:rsidP="00221312">
      <w:pPr>
        <w:spacing w:after="200" w:line="360" w:lineRule="auto"/>
        <w:jc w:val="both"/>
        <w:rPr>
          <w:rFonts w:ascii="Arial" w:eastAsia="Calibri" w:hAnsi="Arial" w:cs="Arial"/>
          <w:sz w:val="24"/>
          <w:szCs w:val="24"/>
          <w:lang w:val="es-ES"/>
        </w:rPr>
      </w:pPr>
      <w:r w:rsidRPr="00A03F64">
        <w:rPr>
          <w:rFonts w:ascii="Arial" w:eastAsia="Calibri" w:hAnsi="Arial" w:cs="Arial"/>
          <w:sz w:val="24"/>
          <w:szCs w:val="24"/>
          <w:lang w:val="es-ES"/>
        </w:rPr>
        <w:t>Embacuba Al</w:t>
      </w:r>
      <w:r>
        <w:rPr>
          <w:rFonts w:ascii="Arial" w:eastAsia="Calibri" w:hAnsi="Arial" w:cs="Arial"/>
          <w:sz w:val="24"/>
          <w:szCs w:val="24"/>
          <w:lang w:val="es-ES"/>
        </w:rPr>
        <w:t>emania-</w:t>
      </w:r>
      <w:proofErr w:type="spellStart"/>
      <w:r>
        <w:rPr>
          <w:rFonts w:ascii="Arial" w:eastAsia="Calibri" w:hAnsi="Arial" w:cs="Arial"/>
          <w:sz w:val="24"/>
          <w:szCs w:val="24"/>
          <w:lang w:val="es-ES"/>
        </w:rPr>
        <w:t>Cubaminrex</w:t>
      </w:r>
      <w:proofErr w:type="spellEnd"/>
    </w:p>
    <w:p w14:paraId="06577FC1" w14:textId="77777777" w:rsidR="00543329" w:rsidRPr="00A03F64" w:rsidRDefault="00543329" w:rsidP="00221312">
      <w:pPr>
        <w:spacing w:after="200" w:line="360" w:lineRule="auto"/>
        <w:jc w:val="both"/>
        <w:rPr>
          <w:rFonts w:ascii="Arial" w:eastAsia="Calibri" w:hAnsi="Arial" w:cs="Arial"/>
          <w:sz w:val="24"/>
          <w:szCs w:val="24"/>
          <w:lang w:val="es-ES"/>
        </w:rPr>
      </w:pPr>
    </w:p>
    <w:p w14:paraId="65CCBE2B" w14:textId="77777777" w:rsidR="00543329" w:rsidRPr="00A03F64" w:rsidRDefault="00543329" w:rsidP="00221312">
      <w:pPr>
        <w:spacing w:after="200" w:line="360" w:lineRule="auto"/>
        <w:jc w:val="both"/>
        <w:rPr>
          <w:rFonts w:ascii="Arial" w:eastAsia="Calibri" w:hAnsi="Arial" w:cs="Arial"/>
          <w:sz w:val="24"/>
          <w:szCs w:val="24"/>
          <w:lang w:val="es-ES"/>
        </w:rPr>
      </w:pPr>
    </w:p>
    <w:p w14:paraId="7AA85427" w14:textId="77777777" w:rsidR="00B70DEB" w:rsidRPr="00A03F64" w:rsidRDefault="00A03F64" w:rsidP="00221312">
      <w:pPr>
        <w:spacing w:line="360" w:lineRule="auto"/>
        <w:jc w:val="both"/>
        <w:rPr>
          <w:sz w:val="24"/>
          <w:szCs w:val="24"/>
          <w:lang w:val="es-ES"/>
        </w:rPr>
      </w:pPr>
    </w:p>
    <w:sectPr w:rsidR="00B70DEB" w:rsidRPr="00A03F64" w:rsidSect="00D43A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329"/>
    <w:rsid w:val="0006042D"/>
    <w:rsid w:val="00193C95"/>
    <w:rsid w:val="00221312"/>
    <w:rsid w:val="00543329"/>
    <w:rsid w:val="006E143C"/>
    <w:rsid w:val="007C2057"/>
    <w:rsid w:val="00A03F64"/>
    <w:rsid w:val="00DA472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184BC"/>
  <w15:chartTrackingRefBased/>
  <w15:docId w15:val="{246A4AE1-D72B-43C0-A7F1-79B416E15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rsid w:val="00543329"/>
    <w:rPr>
      <w:sz w:val="16"/>
      <w:szCs w:val="16"/>
    </w:rPr>
  </w:style>
  <w:style w:type="paragraph" w:styleId="Textocomentario">
    <w:name w:val="annotation text"/>
    <w:basedOn w:val="Normal"/>
    <w:link w:val="TextocomentarioCar"/>
    <w:uiPriority w:val="99"/>
    <w:semiHidden/>
    <w:unhideWhenUsed/>
    <w:rsid w:val="00543329"/>
    <w:pPr>
      <w:spacing w:after="200" w:line="276" w:lineRule="auto"/>
    </w:pPr>
    <w:rPr>
      <w:rFonts w:ascii="Calibri" w:eastAsia="Calibri" w:hAnsi="Calibri" w:cs="Times New Roman"/>
      <w:sz w:val="20"/>
      <w:szCs w:val="20"/>
      <w:lang w:val="es-ES"/>
    </w:rPr>
  </w:style>
  <w:style w:type="character" w:customStyle="1" w:styleId="TextocomentarioCar">
    <w:name w:val="Texto comentario Car"/>
    <w:basedOn w:val="Fuentedeprrafopredeter"/>
    <w:link w:val="Textocomentario"/>
    <w:uiPriority w:val="99"/>
    <w:semiHidden/>
    <w:rsid w:val="00543329"/>
    <w:rPr>
      <w:rFonts w:ascii="Calibri" w:eastAsia="Calibri" w:hAnsi="Calibri" w:cs="Times New Roman"/>
      <w:sz w:val="20"/>
      <w:szCs w:val="20"/>
      <w:lang w:val="es-ES"/>
    </w:rPr>
  </w:style>
  <w:style w:type="paragraph" w:styleId="Textodeglobo">
    <w:name w:val="Balloon Text"/>
    <w:basedOn w:val="Normal"/>
    <w:link w:val="TextodegloboCar"/>
    <w:uiPriority w:val="99"/>
    <w:semiHidden/>
    <w:unhideWhenUsed/>
    <w:rsid w:val="0054332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433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1306</Words>
  <Characters>7184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EMBAJADA CUBA</dc:creator>
  <cp:keywords/>
  <dc:description/>
  <cp:lastModifiedBy>Usuario</cp:lastModifiedBy>
  <cp:revision>4</cp:revision>
  <dcterms:created xsi:type="dcterms:W3CDTF">2025-02-03T09:34:00Z</dcterms:created>
  <dcterms:modified xsi:type="dcterms:W3CDTF">2025-02-03T09:37:00Z</dcterms:modified>
</cp:coreProperties>
</file>