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459DF" w14:textId="0161CEDE" w:rsidR="00C42981" w:rsidRPr="00C42981" w:rsidRDefault="00C42981" w:rsidP="00C42981">
      <w:pPr>
        <w:jc w:val="both"/>
        <w:rPr>
          <w:rFonts w:ascii="Arial" w:hAnsi="Arial" w:cs="Arial"/>
          <w:b/>
          <w:bCs/>
          <w:sz w:val="24"/>
          <w:szCs w:val="24"/>
          <w:lang w:val="de-DE"/>
        </w:rPr>
      </w:pPr>
      <w:r w:rsidRPr="00C42981">
        <w:rPr>
          <w:rFonts w:ascii="Arial" w:hAnsi="Arial" w:cs="Arial"/>
          <w:b/>
          <w:bCs/>
          <w:sz w:val="24"/>
          <w:szCs w:val="24"/>
          <w:lang w:val="de-DE"/>
        </w:rPr>
        <w:t>Kuba lehnt US-Entscheidung zur Inhaftierung von Migranten auf dem Marinestützpunkt Guantanamo ab</w:t>
      </w:r>
    </w:p>
    <w:p w14:paraId="362EBD74" w14:textId="77777777" w:rsidR="00C42981" w:rsidRPr="00C42981" w:rsidRDefault="00C42981" w:rsidP="00C42981">
      <w:pPr>
        <w:jc w:val="both"/>
        <w:rPr>
          <w:rFonts w:ascii="Arial" w:hAnsi="Arial" w:cs="Arial"/>
          <w:b/>
          <w:bCs/>
          <w:sz w:val="24"/>
          <w:szCs w:val="24"/>
          <w:lang w:val="de-DE"/>
        </w:rPr>
      </w:pPr>
      <w:r w:rsidRPr="00C42981">
        <w:rPr>
          <w:rFonts w:ascii="Arial" w:hAnsi="Arial" w:cs="Arial"/>
          <w:b/>
          <w:bCs/>
          <w:sz w:val="24"/>
          <w:szCs w:val="24"/>
          <w:lang w:val="de-DE"/>
        </w:rPr>
        <w:t>Erklärung des Ministeriums für Auswärtige Angelegenheiten</w:t>
      </w:r>
    </w:p>
    <w:p w14:paraId="1C1B7493" w14:textId="3A26D4CC" w:rsidR="000C44A7" w:rsidRPr="00C42981" w:rsidRDefault="000C44A7" w:rsidP="000C44A7">
      <w:pPr>
        <w:jc w:val="both"/>
        <w:rPr>
          <w:rFonts w:ascii="Arial" w:hAnsi="Arial" w:cs="Arial"/>
          <w:sz w:val="24"/>
          <w:szCs w:val="24"/>
          <w:lang w:val="de-DE"/>
        </w:rPr>
      </w:pPr>
      <w:r w:rsidRPr="00C42981">
        <w:rPr>
          <w:rFonts w:ascii="Arial" w:hAnsi="Arial" w:cs="Arial"/>
          <w:sz w:val="24"/>
          <w:szCs w:val="24"/>
          <w:lang w:val="de-DE"/>
        </w:rPr>
        <w:t>Kuba lehnt die vom Präsidenten der Vereinigten Staaten angekündigte Entscheidung ab, den Marinestützpunkt Guantanamo zu nutzen, um Zehntausende von Migranten zu inhaftieren, die er gewaltsam ausweisen will. Dies ist ein Beweis für die Brutalität, mit der diese Regierung vorgibt, Probleme zu lösen, die durch die wirtschaftlichen und sozialen Bedingungen des Landes, die eigene Verwaltung und die Außenpolitik der Regierung, einschließlich der Feindseligkeit gegenüber den Herkunftsländern, entstanden sind.</w:t>
      </w:r>
    </w:p>
    <w:p w14:paraId="6453F2A8" w14:textId="1BE6358C" w:rsidR="000C44A7" w:rsidRPr="00C42981" w:rsidRDefault="000C44A7" w:rsidP="000C44A7">
      <w:pPr>
        <w:jc w:val="both"/>
        <w:rPr>
          <w:rFonts w:ascii="Arial" w:hAnsi="Arial" w:cs="Arial"/>
          <w:sz w:val="24"/>
          <w:szCs w:val="24"/>
          <w:lang w:val="de-DE"/>
        </w:rPr>
      </w:pPr>
      <w:r w:rsidRPr="00C42981">
        <w:rPr>
          <w:rFonts w:ascii="Arial" w:hAnsi="Arial" w:cs="Arial"/>
          <w:sz w:val="24"/>
          <w:szCs w:val="24"/>
          <w:lang w:val="de-DE"/>
        </w:rPr>
        <w:t>Viele der Menschen, die die USA ausweisen oder auszuweisen beabsichtigen, sind Opfer der eigenen Ausplünderungspolitik d</w:t>
      </w:r>
      <w:r w:rsidR="00220751">
        <w:rPr>
          <w:rFonts w:ascii="Arial" w:hAnsi="Arial" w:cs="Arial"/>
          <w:sz w:val="24"/>
          <w:szCs w:val="24"/>
          <w:lang w:val="de-DE"/>
        </w:rPr>
        <w:t xml:space="preserve">ieser </w:t>
      </w:r>
      <w:r w:rsidRPr="00C42981">
        <w:rPr>
          <w:rFonts w:ascii="Arial" w:hAnsi="Arial" w:cs="Arial"/>
          <w:sz w:val="24"/>
          <w:szCs w:val="24"/>
          <w:lang w:val="de-DE"/>
        </w:rPr>
        <w:t>Regierung und decken den Bedarf an Arbeitskräften in der Landwirtschaft, im Baugewerbe, in der Industrie, im Dienstleistungssektor und in verschiedenen Bereichen der US-Wirtschaft. Andere sind das Ergebnis von Erleichterungen bei der Einreise in das Land, von selektiven, politisch motivierten Vorschriften, die sie als Flüchtlinge aufnehmen, und auch von sozioökonomischen Schäden, die durch einseitige Zwangsmaßnahmen verursacht werden.</w:t>
      </w:r>
    </w:p>
    <w:p w14:paraId="03910D46" w14:textId="77777777" w:rsidR="000C44A7" w:rsidRPr="00C42981" w:rsidRDefault="000C44A7" w:rsidP="000C44A7">
      <w:pPr>
        <w:jc w:val="both"/>
        <w:rPr>
          <w:rFonts w:ascii="Arial" w:hAnsi="Arial" w:cs="Arial"/>
          <w:sz w:val="24"/>
          <w:szCs w:val="24"/>
          <w:lang w:val="de-DE"/>
        </w:rPr>
      </w:pPr>
      <w:r w:rsidRPr="00C42981">
        <w:rPr>
          <w:rFonts w:ascii="Arial" w:hAnsi="Arial" w:cs="Arial"/>
          <w:sz w:val="24"/>
          <w:szCs w:val="24"/>
          <w:lang w:val="de-DE"/>
        </w:rPr>
        <w:t>Ein beträchtlicher Teil trägt zur Wirtschaft des Landes bei und hat dies auch getan. Sie sind erwerbstätig, haben Wohnungen, haben Familien gegründet und ihr Leben in den Vereinigten Staaten geplant.</w:t>
      </w:r>
    </w:p>
    <w:p w14:paraId="752DE906" w14:textId="1AFF996C" w:rsidR="00504D62" w:rsidRPr="00504D62" w:rsidRDefault="00504D62" w:rsidP="00504D62">
      <w:pPr>
        <w:jc w:val="both"/>
        <w:rPr>
          <w:rFonts w:ascii="Arial" w:hAnsi="Arial" w:cs="Arial"/>
          <w:sz w:val="24"/>
          <w:szCs w:val="24"/>
          <w:lang w:val="de-DE"/>
        </w:rPr>
      </w:pPr>
      <w:r w:rsidRPr="00504D62">
        <w:rPr>
          <w:rFonts w:ascii="Arial" w:hAnsi="Arial" w:cs="Arial"/>
          <w:sz w:val="24"/>
          <w:szCs w:val="24"/>
          <w:lang w:val="de-DE"/>
        </w:rPr>
        <w:t>Das Gebiet, in dem sie inhaftiert werden sollen, gehört nicht zu den Vereinigten Staaten. Es handelt sich um einen Teil des kubanischen Hoheitsgebiets in der östlichen Provinz Guantánamo, der nach wie vor illegal und gegen den Willen des kubanischen Volkes militärisch besetzt ist.  Diese Militäreinrichtung ist international unter anderem dafür bekannt, dass sie ein Folter- und unbefristetes Gefangenenlager beherbergt, das nicht der Gerichtsbarkeit der Vereinigten Staaten unterliegt und in dem Menschen, die niemals eines Verbrechens angeklagt oder verurteilt wurden, bis zu 20 Jahre lang festgehalten w</w:t>
      </w:r>
      <w:r w:rsidR="00220751">
        <w:rPr>
          <w:rFonts w:ascii="Arial" w:hAnsi="Arial" w:cs="Arial"/>
          <w:sz w:val="24"/>
          <w:szCs w:val="24"/>
          <w:lang w:val="de-DE"/>
        </w:rPr>
        <w:t>orden sind.</w:t>
      </w:r>
    </w:p>
    <w:p w14:paraId="59A5669E" w14:textId="3BD5E65A" w:rsidR="000C44A7" w:rsidRPr="00C42981" w:rsidRDefault="00504D62" w:rsidP="00504D62">
      <w:pPr>
        <w:jc w:val="both"/>
        <w:rPr>
          <w:rFonts w:ascii="Arial" w:hAnsi="Arial" w:cs="Arial"/>
          <w:sz w:val="24"/>
          <w:szCs w:val="24"/>
          <w:lang w:val="de-DE"/>
        </w:rPr>
      </w:pPr>
      <w:r w:rsidRPr="00504D62">
        <w:rPr>
          <w:rFonts w:ascii="Arial" w:hAnsi="Arial" w:cs="Arial"/>
          <w:sz w:val="24"/>
          <w:szCs w:val="24"/>
          <w:lang w:val="de-DE"/>
        </w:rPr>
        <w:t>Seine unverantwortliche Nutzung würde in dieser illegalen Enklave und ihrer Umgebung ein Szenario des Risikos und der Unsicherheit schaffen; es würde den Frieden bedrohen und zu Fehlern, Unfällen und Fehlinterpretationen führen, die die Stabilität beeinträchtigen und schwerwiegende Folgen nach sich ziehen könnten.</w:t>
      </w:r>
    </w:p>
    <w:p w14:paraId="7FC6EB56" w14:textId="77777777" w:rsidR="00D94051" w:rsidRDefault="00D94051" w:rsidP="002A2F5D">
      <w:pPr>
        <w:jc w:val="both"/>
        <w:rPr>
          <w:rFonts w:ascii="Arial" w:hAnsi="Arial" w:cs="Arial"/>
          <w:sz w:val="24"/>
          <w:szCs w:val="24"/>
          <w:lang w:val="de-DE"/>
        </w:rPr>
      </w:pPr>
    </w:p>
    <w:p w14:paraId="379ADBEA" w14:textId="6DD660D5" w:rsidR="00CE5CCC" w:rsidRDefault="00504D62" w:rsidP="002A2F5D">
      <w:pPr>
        <w:jc w:val="both"/>
        <w:rPr>
          <w:rFonts w:ascii="Arial" w:hAnsi="Arial" w:cs="Arial"/>
          <w:sz w:val="24"/>
          <w:szCs w:val="24"/>
          <w:lang w:val="de-DE"/>
        </w:rPr>
      </w:pPr>
      <w:r>
        <w:rPr>
          <w:rFonts w:ascii="Arial" w:hAnsi="Arial" w:cs="Arial"/>
          <w:sz w:val="24"/>
          <w:szCs w:val="24"/>
          <w:lang w:val="de-DE"/>
        </w:rPr>
        <w:t>Havanna, 29. J</w:t>
      </w:r>
      <w:r w:rsidR="004226BE">
        <w:rPr>
          <w:rFonts w:ascii="Arial" w:hAnsi="Arial" w:cs="Arial"/>
          <w:sz w:val="24"/>
          <w:szCs w:val="24"/>
          <w:lang w:val="de-DE"/>
        </w:rPr>
        <w:t>anua</w:t>
      </w:r>
      <w:r>
        <w:rPr>
          <w:rFonts w:ascii="Arial" w:hAnsi="Arial" w:cs="Arial"/>
          <w:sz w:val="24"/>
          <w:szCs w:val="24"/>
          <w:lang w:val="de-DE"/>
        </w:rPr>
        <w:t>r 2025</w:t>
      </w:r>
    </w:p>
    <w:p w14:paraId="3BAE94CE" w14:textId="135091FB" w:rsidR="0044307F" w:rsidRPr="00C42981" w:rsidRDefault="0044307F" w:rsidP="002A2F5D">
      <w:pPr>
        <w:jc w:val="both"/>
        <w:rPr>
          <w:rFonts w:ascii="Arial" w:hAnsi="Arial" w:cs="Arial"/>
          <w:sz w:val="24"/>
          <w:szCs w:val="24"/>
          <w:lang w:val="de-DE"/>
        </w:rPr>
      </w:pPr>
      <w:r>
        <w:rPr>
          <w:rFonts w:ascii="Arial" w:hAnsi="Arial" w:cs="Arial"/>
          <w:sz w:val="24"/>
          <w:szCs w:val="24"/>
          <w:lang w:val="de-DE"/>
        </w:rPr>
        <w:t>Embacuba Alemania-Cubaminrex</w:t>
      </w:r>
    </w:p>
    <w:sectPr w:rsidR="0044307F" w:rsidRPr="00C429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F5D"/>
    <w:rsid w:val="000C44A7"/>
    <w:rsid w:val="00220751"/>
    <w:rsid w:val="002A2F5D"/>
    <w:rsid w:val="003E3AD6"/>
    <w:rsid w:val="004226BE"/>
    <w:rsid w:val="0044307F"/>
    <w:rsid w:val="00504D62"/>
    <w:rsid w:val="008213E7"/>
    <w:rsid w:val="00AE590F"/>
    <w:rsid w:val="00C42981"/>
    <w:rsid w:val="00CE5CCC"/>
    <w:rsid w:val="00D940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406ED"/>
  <w15:chartTrackingRefBased/>
  <w15:docId w15:val="{EC322639-7331-4EC8-B2E5-1C9FD8F65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A2F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A2F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A2F5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A2F5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A2F5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A2F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A2F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A2F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A2F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2F5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A2F5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A2F5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A2F5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A2F5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A2F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A2F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A2F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A2F5D"/>
    <w:rPr>
      <w:rFonts w:eastAsiaTheme="majorEastAsia" w:cstheme="majorBidi"/>
      <w:color w:val="272727" w:themeColor="text1" w:themeTint="D8"/>
    </w:rPr>
  </w:style>
  <w:style w:type="paragraph" w:styleId="Ttulo">
    <w:name w:val="Title"/>
    <w:basedOn w:val="Normal"/>
    <w:next w:val="Normal"/>
    <w:link w:val="TtuloCar"/>
    <w:uiPriority w:val="10"/>
    <w:qFormat/>
    <w:rsid w:val="002A2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2F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A2F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A2F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A2F5D"/>
    <w:pPr>
      <w:spacing w:before="160"/>
      <w:jc w:val="center"/>
    </w:pPr>
    <w:rPr>
      <w:i/>
      <w:iCs/>
      <w:color w:val="404040" w:themeColor="text1" w:themeTint="BF"/>
    </w:rPr>
  </w:style>
  <w:style w:type="character" w:customStyle="1" w:styleId="CitaCar">
    <w:name w:val="Cita Car"/>
    <w:basedOn w:val="Fuentedeprrafopredeter"/>
    <w:link w:val="Cita"/>
    <w:uiPriority w:val="29"/>
    <w:rsid w:val="002A2F5D"/>
    <w:rPr>
      <w:i/>
      <w:iCs/>
      <w:color w:val="404040" w:themeColor="text1" w:themeTint="BF"/>
    </w:rPr>
  </w:style>
  <w:style w:type="paragraph" w:styleId="Prrafodelista">
    <w:name w:val="List Paragraph"/>
    <w:basedOn w:val="Normal"/>
    <w:uiPriority w:val="34"/>
    <w:qFormat/>
    <w:rsid w:val="002A2F5D"/>
    <w:pPr>
      <w:ind w:left="720"/>
      <w:contextualSpacing/>
    </w:pPr>
  </w:style>
  <w:style w:type="character" w:styleId="nfasisintenso">
    <w:name w:val="Intense Emphasis"/>
    <w:basedOn w:val="Fuentedeprrafopredeter"/>
    <w:uiPriority w:val="21"/>
    <w:qFormat/>
    <w:rsid w:val="002A2F5D"/>
    <w:rPr>
      <w:i/>
      <w:iCs/>
      <w:color w:val="2F5496" w:themeColor="accent1" w:themeShade="BF"/>
    </w:rPr>
  </w:style>
  <w:style w:type="paragraph" w:styleId="Citadestacada">
    <w:name w:val="Intense Quote"/>
    <w:basedOn w:val="Normal"/>
    <w:next w:val="Normal"/>
    <w:link w:val="CitadestacadaCar"/>
    <w:uiPriority w:val="30"/>
    <w:qFormat/>
    <w:rsid w:val="002A2F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A2F5D"/>
    <w:rPr>
      <w:i/>
      <w:iCs/>
      <w:color w:val="2F5496" w:themeColor="accent1" w:themeShade="BF"/>
    </w:rPr>
  </w:style>
  <w:style w:type="character" w:styleId="Referenciaintensa">
    <w:name w:val="Intense Reference"/>
    <w:basedOn w:val="Fuentedeprrafopredeter"/>
    <w:uiPriority w:val="32"/>
    <w:qFormat/>
    <w:rsid w:val="002A2F5D"/>
    <w:rPr>
      <w:b/>
      <w:bCs/>
      <w:smallCaps/>
      <w:color w:val="2F5496" w:themeColor="accent1" w:themeShade="BF"/>
      <w:spacing w:val="5"/>
    </w:rPr>
  </w:style>
  <w:style w:type="paragraph" w:styleId="Textodeglobo">
    <w:name w:val="Balloon Text"/>
    <w:basedOn w:val="Normal"/>
    <w:link w:val="TextodegloboCar"/>
    <w:uiPriority w:val="99"/>
    <w:semiHidden/>
    <w:unhideWhenUsed/>
    <w:rsid w:val="008213E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13E7"/>
    <w:rPr>
      <w:rFonts w:ascii="Segoe UI" w:hAnsi="Segoe UI" w:cs="Segoe UI"/>
      <w:sz w:val="18"/>
      <w:szCs w:val="18"/>
    </w:rPr>
  </w:style>
  <w:style w:type="character" w:styleId="Refdecomentario">
    <w:name w:val="annotation reference"/>
    <w:basedOn w:val="Fuentedeprrafopredeter"/>
    <w:uiPriority w:val="99"/>
    <w:semiHidden/>
    <w:unhideWhenUsed/>
    <w:rsid w:val="00AE590F"/>
    <w:rPr>
      <w:sz w:val="16"/>
      <w:szCs w:val="16"/>
    </w:rPr>
  </w:style>
  <w:style w:type="paragraph" w:styleId="Textocomentario">
    <w:name w:val="annotation text"/>
    <w:basedOn w:val="Normal"/>
    <w:link w:val="TextocomentarioCar"/>
    <w:uiPriority w:val="99"/>
    <w:semiHidden/>
    <w:unhideWhenUsed/>
    <w:rsid w:val="00AE590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E590F"/>
    <w:rPr>
      <w:sz w:val="20"/>
      <w:szCs w:val="20"/>
    </w:rPr>
  </w:style>
  <w:style w:type="paragraph" w:styleId="Asuntodelcomentario">
    <w:name w:val="annotation subject"/>
    <w:basedOn w:val="Textocomentario"/>
    <w:next w:val="Textocomentario"/>
    <w:link w:val="AsuntodelcomentarioCar"/>
    <w:uiPriority w:val="99"/>
    <w:semiHidden/>
    <w:unhideWhenUsed/>
    <w:rsid w:val="00AE590F"/>
    <w:rPr>
      <w:b/>
      <w:bCs/>
    </w:rPr>
  </w:style>
  <w:style w:type="character" w:customStyle="1" w:styleId="AsuntodelcomentarioCar">
    <w:name w:val="Asunto del comentario Car"/>
    <w:basedOn w:val="TextocomentarioCar"/>
    <w:link w:val="Asuntodelcomentario"/>
    <w:uiPriority w:val="99"/>
    <w:semiHidden/>
    <w:rsid w:val="00AE59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89357">
      <w:bodyDiv w:val="1"/>
      <w:marLeft w:val="0"/>
      <w:marRight w:val="0"/>
      <w:marTop w:val="0"/>
      <w:marBottom w:val="0"/>
      <w:divBdr>
        <w:top w:val="none" w:sz="0" w:space="0" w:color="auto"/>
        <w:left w:val="none" w:sz="0" w:space="0" w:color="auto"/>
        <w:bottom w:val="none" w:sz="0" w:space="0" w:color="auto"/>
        <w:right w:val="none" w:sz="0" w:space="0" w:color="auto"/>
      </w:divBdr>
    </w:div>
    <w:div w:id="164384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2046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Embajador.Cuba</dc:creator>
  <cp:keywords/>
  <dc:description/>
  <cp:lastModifiedBy>Usuario</cp:lastModifiedBy>
  <cp:revision>7</cp:revision>
  <cp:lastPrinted>2025-01-30T08:50:00Z</cp:lastPrinted>
  <dcterms:created xsi:type="dcterms:W3CDTF">2025-01-30T10:32:00Z</dcterms:created>
  <dcterms:modified xsi:type="dcterms:W3CDTF">2025-01-30T13:05:00Z</dcterms:modified>
</cp:coreProperties>
</file>